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22.08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</w:rPr>
        <w:t xml:space="preserve">Велозабег в честь Дня Российского флага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36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В честь Дня Российского флага Молодежный совет самарского Росреестра совершил ежегодный велозабег по живописным местам Самарской Луки.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 Российский триколором ребята прошли маршрут вдоль великой русской реки Волги от села Рождествено через Подгоры вдоль Белой горы, сделав привал с аква-паузой на знаменитых «Золотых песках», а потом вернулись на левый берег – в Самару.</w:t>
      </w:r>
      <w:r>
        <w:rPr>
          <w:rFonts w:ascii="Segoe UI" w:hAnsi="Segoe UI" w:eastAsia="Segoe UI" w:cs="Segoe UI"/>
          <w:bCs/>
          <w:i/>
          <w:sz w:val="20"/>
        </w:rPr>
      </w:r>
      <w:r/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Так Молодежный совет напомнил о важности Российского триколора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как государственного флага родной страны,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в жизни каждого гражданина.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Segoe UI" w:hAnsi="Segoe UI" w:eastAsia="Segoe UI" w:cs="Segoe UI"/>
          <w:bCs/>
          <w:i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«Показывая уважение к флагу, мы, прежде всего, показываем свое уважение к себе самим, своим бл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изким, к своей Родине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– говорит председатель Молодежного совета самарского Росреестра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Татьяна Шурыгина.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Наш велозабег стал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традиционным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, но чувство гордости и трепет каждый раз охватывают с новой силой. Безусловно, такие мероприятия вдохновляют. Это - наша история, наша Родина, а мы - ее частичка!» </w:t>
      </w:r>
      <w:r>
        <w:rPr>
          <w:rFonts w:ascii="Segoe UI" w:hAnsi="Segoe UI" w:eastAsia="Segoe UI" w:cs="Segoe UI"/>
          <w:bCs/>
          <w:i/>
          <w:sz w:val="20"/>
          <w:szCs w:val="20"/>
        </w:rPr>
      </w:r>
      <w:r>
        <w:rPr>
          <w:rFonts w:ascii="Segoe UI" w:hAnsi="Segoe UI" w:eastAsia="Segoe UI" w:cs="Segoe UI"/>
          <w:bCs/>
          <w:i/>
          <w:sz w:val="20"/>
          <w:szCs w:val="20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539125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49</cp:revision>
  <dcterms:created xsi:type="dcterms:W3CDTF">2025-04-09T05:40:00Z</dcterms:created>
  <dcterms:modified xsi:type="dcterms:W3CDTF">2025-08-21T13:16:39Z</dcterms:modified>
</cp:coreProperties>
</file>